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Pr>
      <w:r>
        <w:t xml:space="preserve">Integrative Protocol — Russell Read-Barrow</w:t>
      </w:r>
    </w:p>
    <w:p>
      <w:pPr>
        <w:spacing w:after="40"/>
      </w:pPr>
      <w:r>
        <w:rPr>
          <w:i/>
          <w:iCs/>
          <w:sz w:val="20"/>
          <w:szCs w:val="20"/>
        </w:rPr>
        <w:t xml:space="preserve">Colorectal adenocarcinoma · FOLFIRI + Cetuximab (14-day cycle)</w:t>
      </w:r>
    </w:p>
    <w:p>
      <w:pPr>
        <w:spacing w:after="200"/>
      </w:pPr>
      <w:r>
        <w:rPr>
          <w:i/>
          <w:iCs/>
          <w:color w:val="C00000"/>
          <w:sz w:val="20"/>
          <w:szCs w:val="20"/>
        </w:rPr>
        <w:t xml:space="preserve">Status: OFF-CHEMO BREAK · Issued 5 June 2026 · This is the current daily baseline. Cycling rules below activate when chemo restarts.</w:t>
      </w:r>
    </w:p>
    <w:p>
      <w:pPr>
        <w:spacing w:after="200"/>
      </w:pPr>
      <w:r>
        <w:rPr>
          <w:i/>
          <w:iCs/>
          <w:color w:val="808080"/>
          <w:sz w:val="18"/>
          <w:szCs w:val="18"/>
        </w:rPr>
        <w:t xml:space="preserve">Not medical advice. Information and reminders only. All prescription and dose changes via the named prescriber.</w:t>
      </w:r>
    </w:p>
    <w:p>
      <w:pPr>
        <w:pStyle w:val="Heading2"/>
      </w:pPr>
      <w:r>
        <w:t xml:space="preserve">Daily pill pots</w:t>
      </w:r>
    </w:p>
    <w:p>
      <w:pPr>
        <w:spacing w:after="120"/>
      </w:pPr>
      <w:r>
        <w:rPr>
          <w:sz w:val="22"/>
          <w:szCs w:val="22"/>
        </w:rPr>
        <w:t xml:space="preserve">AM pot taken at breakfast. PM pot taken at the evening meal (it carries the fat-dependent drugs — Mebendazole, Fenbendazole, Vitamin D3, Ivermectin — which absorb poorly without dietary fat). A dash means the item is not in that pot.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800"/>
        <w:gridCol w:w="2780"/>
        <w:gridCol w:w="2780"/>
      </w:tblGrid>
      <w:tr>
        <w:trPr>
          <w:tblHeader/>
        </w:trPr>
        <w:tc>
          <w:tcPr>
            <w:tcW w:type="dxa" w:w="380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b/>
                <w:bCs/>
                <w:color w:val="FFFFFF"/>
                <w:sz w:val="20"/>
                <w:szCs w:val="20"/>
              </w:rPr>
              <w:t xml:space="preserve">Drug</w:t>
            </w:r>
          </w:p>
        </w:tc>
        <w:tc>
          <w:tcPr>
            <w:tcW w:type="dxa" w:w="278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b/>
                <w:bCs/>
                <w:color w:val="FFFFFF"/>
                <w:sz w:val="20"/>
                <w:szCs w:val="20"/>
              </w:rPr>
              <w:t xml:space="preserve">AM (breakfast)</w:t>
            </w:r>
          </w:p>
        </w:tc>
        <w:tc>
          <w:tcPr>
            <w:tcW w:type="dxa" w:w="2780"/>
            <w:tcBorders>
              <w:top w:val="single" w:color="CCCCCC" w:sz="1"/>
              <w:left w:val="single" w:color="CCCCCC" w:sz="1"/>
              <w:bottom w:val="single" w:color="CCCCCC" w:sz="1"/>
              <w:right w:val="single" w:color="CCCCCC" w:sz="1"/>
            </w:tcBorders>
            <w:shd w:fill="2E75B6" w:val="clear"/>
            <w:tcMar>
              <w:top w:type="dxa" w:w="80"/>
              <w:left w:type="dxa" w:w="120"/>
              <w:bottom w:type="dxa" w:w="80"/>
              <w:right w:type="dxa" w:w="120"/>
            </w:tcMar>
          </w:tcPr>
          <w:p>
            <w:r>
              <w:rPr>
                <w:b/>
                <w:bCs/>
                <w:color w:val="FFFFFF"/>
                <w:sz w:val="20"/>
                <w:szCs w:val="20"/>
              </w:rPr>
              <w:t xml:space="preserve">PM (evening meal — fat)</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bCs/>
                <w:sz w:val="20"/>
                <w:szCs w:val="20"/>
              </w:rPr>
              <w:t xml:space="preserve">Citalopram 30mg</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b w:val="false"/>
                <w:bCs w:val="false"/>
                <w:sz w:val="20"/>
                <w:szCs w:val="20"/>
              </w:rPr>
              <w:t xml:space="preserve">1</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val="false"/>
                <w:bCs w:val="false"/>
                <w:sz w:val="20"/>
                <w:szCs w:val="20"/>
              </w:rPr>
              <w:t xml:space="preserve">—</w:t>
            </w:r>
          </w:p>
        </w:tc>
      </w:tr>
      <w:tr>
        <w:tc>
          <w:tcPr>
            <w:tcW w:type="dxa" w:w="380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left"/>
            </w:pPr>
            <w:r>
              <w:rPr>
                <w:b/>
                <w:bCs/>
                <w:sz w:val="20"/>
                <w:szCs w:val="20"/>
              </w:rPr>
              <w:t xml:space="preserve">Metformin 500mg</w:t>
            </w:r>
          </w:p>
        </w:tc>
        <w:tc>
          <w:tcPr>
            <w:tcW w:type="dxa" w:w="278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center"/>
            </w:pPr>
            <w:r>
              <w:rPr>
                <w:b w:val="false"/>
                <w:bCs w:val="false"/>
                <w:sz w:val="20"/>
                <w:szCs w:val="20"/>
              </w:rPr>
              <w:t xml:space="preserve">1</w:t>
            </w:r>
          </w:p>
        </w:tc>
        <w:tc>
          <w:tcPr>
            <w:tcW w:type="dxa" w:w="278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left"/>
            </w:pPr>
            <w:r>
              <w:rPr>
                <w:b w:val="false"/>
                <w:bCs w:val="false"/>
                <w:sz w:val="20"/>
                <w:szCs w:val="20"/>
              </w:rPr>
              <w:t xml:space="preserve">1</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bCs/>
                <w:sz w:val="20"/>
                <w:szCs w:val="20"/>
              </w:rPr>
              <w:t xml:space="preserve">Mebendazole 100mg</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b w:val="false"/>
                <w:bCs w:val="false"/>
                <w:sz w:val="20"/>
                <w:szCs w:val="20"/>
              </w:rPr>
              <w:t xml:space="preserve">—</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val="false"/>
                <w:bCs w:val="false"/>
                <w:sz w:val="20"/>
                <w:szCs w:val="20"/>
              </w:rPr>
              <w:t xml:space="preserve">2–3 (fatty meal)</w:t>
            </w:r>
          </w:p>
        </w:tc>
      </w:tr>
      <w:tr>
        <w:tc>
          <w:tcPr>
            <w:tcW w:type="dxa" w:w="380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left"/>
            </w:pPr>
            <w:r>
              <w:rPr>
                <w:b/>
                <w:bCs/>
                <w:sz w:val="20"/>
                <w:szCs w:val="20"/>
              </w:rPr>
              <w:t xml:space="preserve">Doxycycline 100mg</w:t>
            </w:r>
          </w:p>
        </w:tc>
        <w:tc>
          <w:tcPr>
            <w:tcW w:type="dxa" w:w="278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center"/>
            </w:pPr>
            <w:r>
              <w:rPr>
                <w:b w:val="false"/>
                <w:bCs w:val="false"/>
                <w:sz w:val="20"/>
                <w:szCs w:val="20"/>
              </w:rPr>
              <w:t xml:space="preserve">1</w:t>
            </w:r>
          </w:p>
        </w:tc>
        <w:tc>
          <w:tcPr>
            <w:tcW w:type="dxa" w:w="278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left"/>
            </w:pPr>
            <w:r>
              <w:rPr>
                <w:b w:val="false"/>
                <w:bCs w:val="false"/>
                <w:sz w:val="20"/>
                <w:szCs w:val="20"/>
              </w:rPr>
              <w:t xml:space="preserve">—</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bCs/>
                <w:sz w:val="20"/>
                <w:szCs w:val="20"/>
              </w:rPr>
              <w:t xml:space="preserve">Propranolol 20mg</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b w:val="false"/>
                <w:bCs w:val="false"/>
                <w:sz w:val="20"/>
                <w:szCs w:val="20"/>
              </w:rPr>
              <w:t xml:space="preserve">1</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val="false"/>
                <w:bCs w:val="false"/>
                <w:sz w:val="20"/>
                <w:szCs w:val="20"/>
              </w:rPr>
              <w:t xml:space="preserve">1</w:t>
            </w:r>
          </w:p>
        </w:tc>
      </w:tr>
      <w:tr>
        <w:tc>
          <w:tcPr>
            <w:tcW w:type="dxa" w:w="380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left"/>
            </w:pPr>
            <w:r>
              <w:rPr>
                <w:b/>
                <w:bCs/>
                <w:sz w:val="20"/>
                <w:szCs w:val="20"/>
              </w:rPr>
              <w:t xml:space="preserve">Berberine 500mg</w:t>
            </w:r>
          </w:p>
        </w:tc>
        <w:tc>
          <w:tcPr>
            <w:tcW w:type="dxa" w:w="278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center"/>
            </w:pPr>
            <w:r>
              <w:rPr>
                <w:b w:val="false"/>
                <w:bCs w:val="false"/>
                <w:sz w:val="20"/>
                <w:szCs w:val="20"/>
              </w:rPr>
              <w:t xml:space="preserve">1</w:t>
            </w:r>
          </w:p>
        </w:tc>
        <w:tc>
          <w:tcPr>
            <w:tcW w:type="dxa" w:w="278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left"/>
            </w:pPr>
            <w:r>
              <w:rPr>
                <w:b w:val="false"/>
                <w:bCs w:val="false"/>
                <w:sz w:val="20"/>
                <w:szCs w:val="20"/>
              </w:rPr>
              <w:t xml:space="preserve">1 (until stock runs out — do not reorder)</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bCs/>
                <w:sz w:val="20"/>
                <w:szCs w:val="20"/>
              </w:rPr>
              <w:t xml:space="preserve">Hydroxychloroquine 200mg</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b w:val="false"/>
                <w:bCs w:val="false"/>
                <w:sz w:val="20"/>
                <w:szCs w:val="20"/>
              </w:rPr>
              <w:t xml:space="preserve">1</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val="false"/>
                <w:bCs w:val="false"/>
                <w:sz w:val="20"/>
                <w:szCs w:val="20"/>
              </w:rPr>
              <w:t xml:space="preserve">— (cycle: see rules)</w:t>
            </w:r>
          </w:p>
        </w:tc>
      </w:tr>
      <w:tr>
        <w:tc>
          <w:tcPr>
            <w:tcW w:type="dxa" w:w="380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left"/>
            </w:pPr>
            <w:r>
              <w:rPr>
                <w:b/>
                <w:bCs/>
                <w:sz w:val="20"/>
                <w:szCs w:val="20"/>
              </w:rPr>
              <w:t xml:space="preserve">Fenbendazole 440mg</w:t>
            </w:r>
          </w:p>
        </w:tc>
        <w:tc>
          <w:tcPr>
            <w:tcW w:type="dxa" w:w="278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center"/>
            </w:pPr>
            <w:r>
              <w:rPr>
                <w:b w:val="false"/>
                <w:bCs w:val="false"/>
                <w:sz w:val="20"/>
                <w:szCs w:val="20"/>
              </w:rPr>
              <w:t xml:space="preserve">—</w:t>
            </w:r>
          </w:p>
        </w:tc>
        <w:tc>
          <w:tcPr>
            <w:tcW w:type="dxa" w:w="278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left"/>
            </w:pPr>
            <w:r>
              <w:rPr>
                <w:b w:val="false"/>
                <w:bCs w:val="false"/>
                <w:sz w:val="20"/>
                <w:szCs w:val="20"/>
              </w:rPr>
              <w:t xml:space="preserve">1 (on-days only, fatty meal)</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bCs/>
                <w:sz w:val="20"/>
                <w:szCs w:val="20"/>
              </w:rPr>
              <w:t xml:space="preserve">I3C 200mg</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b w:val="false"/>
                <w:bCs w:val="false"/>
                <w:sz w:val="20"/>
                <w:szCs w:val="20"/>
              </w:rPr>
              <w:t xml:space="preserve">1</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val="false"/>
                <w:bCs w:val="false"/>
                <w:sz w:val="20"/>
                <w:szCs w:val="20"/>
              </w:rPr>
              <w:t xml:space="preserve">1</w:t>
            </w:r>
          </w:p>
        </w:tc>
      </w:tr>
      <w:tr>
        <w:tc>
          <w:tcPr>
            <w:tcW w:type="dxa" w:w="380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left"/>
            </w:pPr>
            <w:r>
              <w:rPr>
                <w:b/>
                <w:bCs/>
                <w:sz w:val="20"/>
                <w:szCs w:val="20"/>
              </w:rPr>
              <w:t xml:space="preserve">Luteolin 150mg</w:t>
            </w:r>
          </w:p>
        </w:tc>
        <w:tc>
          <w:tcPr>
            <w:tcW w:type="dxa" w:w="278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center"/>
            </w:pPr>
            <w:r>
              <w:rPr>
                <w:b w:val="false"/>
                <w:bCs w:val="false"/>
                <w:sz w:val="20"/>
                <w:szCs w:val="20"/>
              </w:rPr>
              <w:t xml:space="preserve">1</w:t>
            </w:r>
          </w:p>
        </w:tc>
        <w:tc>
          <w:tcPr>
            <w:tcW w:type="dxa" w:w="278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left"/>
            </w:pPr>
            <w:r>
              <w:rPr>
                <w:b w:val="false"/>
                <w:bCs w:val="false"/>
                <w:sz w:val="20"/>
                <w:szCs w:val="20"/>
              </w:rPr>
              <w:t xml:space="preserve">1</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bCs/>
                <w:sz w:val="20"/>
                <w:szCs w:val="20"/>
              </w:rPr>
              <w:t xml:space="preserve">Turkey Tail 500mg</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b w:val="false"/>
                <w:bCs w:val="false"/>
                <w:sz w:val="20"/>
                <w:szCs w:val="20"/>
              </w:rPr>
              <w:t xml:space="preserve">1</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val="false"/>
                <w:bCs w:val="false"/>
                <w:sz w:val="20"/>
                <w:szCs w:val="20"/>
              </w:rPr>
              <w:t xml:space="preserve">1</w:t>
            </w:r>
          </w:p>
        </w:tc>
      </w:tr>
      <w:tr>
        <w:tc>
          <w:tcPr>
            <w:tcW w:type="dxa" w:w="380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left"/>
            </w:pPr>
            <w:r>
              <w:rPr>
                <w:b/>
                <w:bCs/>
                <w:sz w:val="20"/>
                <w:szCs w:val="20"/>
              </w:rPr>
              <w:t xml:space="preserve">Vitamin D3 4000IU + K2</w:t>
            </w:r>
          </w:p>
        </w:tc>
        <w:tc>
          <w:tcPr>
            <w:tcW w:type="dxa" w:w="278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center"/>
            </w:pPr>
            <w:r>
              <w:rPr>
                <w:b w:val="false"/>
                <w:bCs w:val="false"/>
                <w:sz w:val="20"/>
                <w:szCs w:val="20"/>
              </w:rPr>
              <w:t xml:space="preserve">—</w:t>
            </w:r>
          </w:p>
        </w:tc>
        <w:tc>
          <w:tcPr>
            <w:tcW w:type="dxa" w:w="278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left"/>
            </w:pPr>
            <w:r>
              <w:rPr>
                <w:b w:val="false"/>
                <w:bCs w:val="false"/>
                <w:sz w:val="20"/>
                <w:szCs w:val="20"/>
              </w:rPr>
              <w:t xml:space="preserve">1 (fatty meal)</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bCs/>
                <w:sz w:val="20"/>
                <w:szCs w:val="20"/>
              </w:rPr>
              <w:t xml:space="preserve">Milk Thistle 450mg</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b w:val="false"/>
                <w:bCs w:val="false"/>
                <w:sz w:val="20"/>
                <w:szCs w:val="20"/>
              </w:rPr>
              <w:t xml:space="preserve">1</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val="false"/>
                <w:bCs w:val="false"/>
                <w:sz w:val="20"/>
                <w:szCs w:val="20"/>
              </w:rPr>
              <w:t xml:space="preserve">—</w:t>
            </w:r>
          </w:p>
        </w:tc>
      </w:tr>
      <w:tr>
        <w:tc>
          <w:tcPr>
            <w:tcW w:type="dxa" w:w="380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left"/>
            </w:pPr>
            <w:r>
              <w:rPr>
                <w:b/>
                <w:bCs/>
                <w:sz w:val="20"/>
                <w:szCs w:val="20"/>
              </w:rPr>
              <w:t xml:space="preserve">Ivermectin 48mg</w:t>
            </w:r>
          </w:p>
        </w:tc>
        <w:tc>
          <w:tcPr>
            <w:tcW w:type="dxa" w:w="278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center"/>
            </w:pPr>
            <w:r>
              <w:rPr>
                <w:b w:val="false"/>
                <w:bCs w:val="false"/>
                <w:sz w:val="20"/>
                <w:szCs w:val="20"/>
              </w:rPr>
              <w:t xml:space="preserve">—</w:t>
            </w:r>
          </w:p>
        </w:tc>
        <w:tc>
          <w:tcPr>
            <w:tcW w:type="dxa" w:w="278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left"/>
            </w:pPr>
            <w:r>
              <w:rPr>
                <w:b w:val="false"/>
                <w:bCs w:val="false"/>
                <w:sz w:val="20"/>
                <w:szCs w:val="20"/>
              </w:rPr>
              <w:t xml:space="preserve">2 (fatty meal — see dose note)</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bCs/>
                <w:sz w:val="20"/>
                <w:szCs w:val="20"/>
              </w:rPr>
              <w:t xml:space="preserve">Aspirin 75mg</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b w:val="false"/>
                <w:bCs w:val="false"/>
                <w:sz w:val="20"/>
                <w:szCs w:val="20"/>
              </w:rPr>
              <w:t xml:space="preserve">1</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val="false"/>
                <w:bCs w:val="false"/>
                <w:sz w:val="20"/>
                <w:szCs w:val="20"/>
              </w:rPr>
              <w:t xml:space="preserve">—</w:t>
            </w:r>
          </w:p>
        </w:tc>
      </w:tr>
      <w:tr>
        <w:tc>
          <w:tcPr>
            <w:tcW w:type="dxa" w:w="380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left"/>
            </w:pPr>
            <w:r>
              <w:rPr>
                <w:b/>
                <w:bCs/>
                <w:sz w:val="20"/>
                <w:szCs w:val="20"/>
              </w:rPr>
              <w:t xml:space="preserve">Domperidone</w:t>
            </w:r>
          </w:p>
        </w:tc>
        <w:tc>
          <w:tcPr>
            <w:tcW w:type="dxa" w:w="278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center"/>
            </w:pPr>
            <w:r>
              <w:rPr>
                <w:b w:val="false"/>
                <w:bCs w:val="false"/>
                <w:sz w:val="20"/>
                <w:szCs w:val="20"/>
              </w:rPr>
              <w:t xml:space="preserve">chemo only</w:t>
            </w:r>
          </w:p>
        </w:tc>
        <w:tc>
          <w:tcPr>
            <w:tcW w:type="dxa" w:w="2780"/>
            <w:tcBorders>
              <w:top w:val="single" w:color="CCCCCC" w:sz="1"/>
              <w:left w:val="single" w:color="CCCCCC" w:sz="1"/>
              <w:bottom w:val="single" w:color="CCCCCC" w:sz="1"/>
              <w:right w:val="single" w:color="CCCCCC" w:sz="1"/>
            </w:tcBorders>
            <w:shd w:fill="F2F6FB" w:val="clear"/>
            <w:tcMar>
              <w:top w:type="dxa" w:w="80"/>
              <w:left w:type="dxa" w:w="120"/>
              <w:bottom w:type="dxa" w:w="80"/>
              <w:right w:type="dxa" w:w="120"/>
            </w:tcMar>
          </w:tcPr>
          <w:p>
            <w:pPr>
              <w:jc w:val="left"/>
            </w:pPr>
            <w:r>
              <w:rPr>
                <w:b w:val="false"/>
                <w:bCs w:val="false"/>
                <w:sz w:val="20"/>
                <w:szCs w:val="20"/>
              </w:rPr>
              <w:t xml:space="preserve">chemo only</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bCs/>
                <w:sz w:val="20"/>
                <w:szCs w:val="20"/>
              </w:rPr>
              <w:t xml:space="preserve">Cetirizine</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b w:val="false"/>
                <w:bCs w:val="false"/>
                <w:sz w:val="20"/>
                <w:szCs w:val="20"/>
              </w:rPr>
              <w:t xml:space="preserve">chemo only</w:t>
            </w:r>
          </w:p>
        </w:tc>
        <w:tc>
          <w:tcPr>
            <w:tcW w:type="dxa" w:w="27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left"/>
            </w:pPr>
            <w:r>
              <w:rPr>
                <w:b w:val="false"/>
                <w:bCs w:val="false"/>
                <w:sz w:val="20"/>
                <w:szCs w:val="20"/>
              </w:rPr>
              <w:t xml:space="preserve">—</w:t>
            </w:r>
          </w:p>
        </w:tc>
      </w:tr>
    </w:tbl>
    <w:p>
      <w:pPr>
        <w:pStyle w:val="Heading2"/>
      </w:pPr>
      <w:r>
        <w:t xml:space="preserve">Taken separately (not in either pot)</w:t>
      </w:r>
    </w:p>
    <w:p>
      <w:pPr>
        <w:pStyle w:val="ListParagraph"/>
        <w:numPr>
          <w:ilvl w:val="0"/>
          <w:numId w:val="2"/>
        </w:numPr>
      </w:pPr>
      <w:r>
        <w:rPr>
          <w:b w:val="false"/>
          <w:bCs w:val="false"/>
          <w:sz w:val="22"/>
          <w:szCs w:val="22"/>
        </w:rPr>
        <w:t xml:space="preserve">DCA 333mg — 1 tablet AM + 1 tablet PM with meals (2/day total).</w:t>
      </w:r>
    </w:p>
    <w:p>
      <w:pPr>
        <w:pStyle w:val="ListParagraph"/>
        <w:numPr>
          <w:ilvl w:val="0"/>
          <w:numId w:val="2"/>
        </w:numPr>
      </w:pPr>
      <w:r>
        <w:rPr>
          <w:b w:val="false"/>
          <w:bCs w:val="false"/>
          <w:sz w:val="22"/>
          <w:szCs w:val="22"/>
        </w:rPr>
        <w:t xml:space="preserve">Melatonin (higher dose) — bedtime only, in an empty pot, away from food and away from the dinner pot. Logged as PM-timed but it is a standalone bedtime dose, not swallowed with dinner.</w:t>
      </w:r>
    </w:p>
    <w:p>
      <w:pPr>
        <w:pStyle w:val="ListParagraph"/>
        <w:numPr>
          <w:ilvl w:val="0"/>
          <w:numId w:val="2"/>
        </w:numPr>
      </w:pPr>
      <w:r>
        <w:rPr>
          <w:b w:val="false"/>
          <w:bCs w:val="false"/>
          <w:sz w:val="22"/>
          <w:szCs w:val="22"/>
        </w:rPr>
        <w:t xml:space="preserve">CBD — in drinks, if used.</w:t>
      </w:r>
    </w:p>
    <w:p>
      <w:pPr>
        <w:pStyle w:val="Heading2"/>
      </w:pPr>
      <w:r>
        <w:t xml:space="preserve">Injections</w:t>
      </w:r>
    </w:p>
    <w:p>
      <w:pPr>
        <w:pStyle w:val="ListParagraph"/>
        <w:numPr>
          <w:ilvl w:val="0"/>
          <w:numId w:val="2"/>
        </w:numPr>
      </w:pPr>
      <w:r>
        <w:rPr>
          <w:b w:val="false"/>
          <w:bCs w:val="false"/>
          <w:sz w:val="22"/>
          <w:szCs w:val="22"/>
        </w:rPr>
        <w:t xml:space="preserve">Mistletoe Helixor M — once daily, morning, alternating abdomen quadrants. Prescriber: Dr Gruenewald. Supplier: London Integrated Health.</w:t>
      </w:r>
    </w:p>
    <w:p>
      <w:pPr>
        <w:pStyle w:val="ListParagraph"/>
        <w:numPr>
          <w:ilvl w:val="0"/>
          <w:numId w:val="2"/>
        </w:numPr>
      </w:pPr>
      <w:r>
        <w:rPr>
          <w:b w:val="false"/>
          <w:bCs w:val="false"/>
          <w:sz w:val="22"/>
          <w:szCs w:val="22"/>
        </w:rPr>
        <w:t xml:space="preserve">Thymosin Alpha-1 — 2× per week. Safe on the same day as mistletoe (no interaction); use a different injection site so each skin reaction can be read separately. Prescriber: Dr Harry.</w:t>
      </w:r>
    </w:p>
    <w:p>
      <w:pPr>
        <w:pStyle w:val="Heading2"/>
      </w:pPr>
      <w:r>
        <w:t xml:space="preserve">Weeks on / weeks off — cycling rules</w:t>
      </w:r>
    </w:p>
    <w:p>
      <w:pPr>
        <w:spacing w:after="120"/>
      </w:pPr>
      <w:r>
        <w:rPr>
          <w:sz w:val="22"/>
          <w:szCs w:val="22"/>
        </w:rPr>
        <w:t xml:space="preserve">These are drug-specific, not one shared schedule. While ON the chemo break, the simplest correct position is below. When chemo restarts, tell the assistant “Cycle X Day 1” and the chemo-day rules re-activate.</w:t>
      </w:r>
    </w:p>
    <w:p>
      <w:pPr>
        <w:pStyle w:val="ListParagraph"/>
        <w:numPr>
          <w:ilvl w:val="0"/>
          <w:numId w:val="2"/>
        </w:numPr>
      </w:pPr>
      <w:r>
        <w:rPr>
          <w:b w:val="false"/>
          <w:bCs w:val="false"/>
          <w:sz w:val="22"/>
          <w:szCs w:val="22"/>
        </w:rPr>
        <w:t xml:space="preserve">Hydroxychloroquine (HCQ) 200mg — 2 weeks ON, 2 weeks OFF. This is the main item you have not been cycling and now should. Decide with Dr Harry whether to align the ON fortnight to your chemo cycle or run it independently — confirm before chemo restarts.</w:t>
      </w:r>
    </w:p>
    <w:p>
      <w:pPr>
        <w:pStyle w:val="ListParagraph"/>
        <w:numPr>
          <w:ilvl w:val="0"/>
          <w:numId w:val="2"/>
        </w:numPr>
      </w:pPr>
      <w:r>
        <w:rPr>
          <w:b w:val="false"/>
          <w:bCs w:val="false"/>
          <w:sz w:val="22"/>
          <w:szCs w:val="22"/>
        </w:rPr>
        <w:t xml:space="preserve">Fenbendazole 440mg — weekly cycle: 3 days ON, 4 days OFF (e.g. Mon–Tue–Wed on, Thu–Sun off). Runs every week regardless of chemo.</w:t>
      </w:r>
    </w:p>
    <w:p>
      <w:pPr>
        <w:pStyle w:val="ListParagraph"/>
        <w:numPr>
          <w:ilvl w:val="0"/>
          <w:numId w:val="2"/>
        </w:numPr>
      </w:pPr>
      <w:r>
        <w:rPr>
          <w:b w:val="false"/>
          <w:bCs w:val="false"/>
          <w:sz w:val="22"/>
          <w:szCs w:val="22"/>
        </w:rPr>
        <w:t xml:space="preserve">Doxycycline — alternate months when OFF chemo; daily continuous while ON Cetuximab. You tolerate daily well, so continuing daily is fine — confirm preference with Dr Harry.</w:t>
      </w:r>
    </w:p>
    <w:p>
      <w:pPr>
        <w:pStyle w:val="ListParagraph"/>
        <w:numPr>
          <w:ilvl w:val="0"/>
          <w:numId w:val="2"/>
        </w:numPr>
      </w:pPr>
      <w:r>
        <w:rPr>
          <w:b w:val="false"/>
          <w:bCs w:val="false"/>
          <w:sz w:val="22"/>
          <w:szCs w:val="22"/>
        </w:rPr>
        <w:t xml:space="preserve">Pantoprazole (if added later) — 2 weeks ON, 2 weeks OFF.</w:t>
      </w:r>
    </w:p>
    <w:p>
      <w:pPr>
        <w:pStyle w:val="ListParagraph"/>
        <w:numPr>
          <w:ilvl w:val="0"/>
          <w:numId w:val="2"/>
        </w:numPr>
      </w:pPr>
      <w:r>
        <w:rPr>
          <w:b w:val="false"/>
          <w:bCs w:val="false"/>
          <w:sz w:val="22"/>
          <w:szCs w:val="22"/>
        </w:rPr>
        <w:t xml:space="preserve">All other agents (Metformin, Mebendazole, Ivermectin, Berberine, I3C, Luteolin, Turkey Tail, Vit D3, Milk Thistle, Aspirin, DCA) — continuous, no off-weeks.</w:t>
      </w:r>
    </w:p>
    <w:p>
      <w:pPr>
        <w:pStyle w:val="Heading2"/>
      </w:pPr>
      <w:r>
        <w:t xml:space="preserve">Chemo-week rules (activate when chemo restarts)</w:t>
      </w:r>
    </w:p>
    <w:p>
      <w:pPr>
        <w:pStyle w:val="ListParagraph"/>
        <w:numPr>
          <w:ilvl w:val="0"/>
          <w:numId w:val="2"/>
        </w:numPr>
      </w:pPr>
      <w:r>
        <w:rPr>
          <w:b w:val="false"/>
          <w:bCs w:val="false"/>
          <w:sz w:val="22"/>
          <w:szCs w:val="22"/>
        </w:rPr>
        <w:t xml:space="preserve">Day 1 (infusion, Tue): no injections; fast from Monday evening; take Berberine (and Quercetin if reintroduced) 4+ hours before infusion (CYP3A4/irinotecan); other orals normal.</w:t>
      </w:r>
    </w:p>
    <w:p>
      <w:pPr>
        <w:pStyle w:val="ListParagraph"/>
        <w:numPr>
          <w:ilvl w:val="0"/>
          <w:numId w:val="2"/>
        </w:numPr>
      </w:pPr>
      <w:r>
        <w:rPr>
          <w:b w:val="false"/>
          <w:bCs w:val="false"/>
          <w:sz w:val="22"/>
          <w:szCs w:val="22"/>
        </w:rPr>
        <w:t xml:space="preserve">Day 2 (5-FU pump, Wed): no injections; resume eating; orals normal.</w:t>
      </w:r>
    </w:p>
    <w:p>
      <w:pPr>
        <w:pStyle w:val="ListParagraph"/>
        <w:numPr>
          <w:ilvl w:val="0"/>
          <w:numId w:val="2"/>
        </w:numPr>
      </w:pPr>
      <w:r>
        <w:rPr>
          <w:b w:val="false"/>
          <w:bCs w:val="false"/>
          <w:sz w:val="22"/>
          <w:szCs w:val="22"/>
        </w:rPr>
        <w:t xml:space="preserve">Day 3 (pump disconnect, Thu): Thymosin Alpha-1 can resume; mistletoe waits until Day 4.</w:t>
      </w:r>
    </w:p>
    <w:p>
      <w:pPr>
        <w:pStyle w:val="ListParagraph"/>
        <w:numPr>
          <w:ilvl w:val="0"/>
          <w:numId w:val="2"/>
        </w:numPr>
      </w:pPr>
      <w:r>
        <w:rPr>
          <w:b w:val="false"/>
          <w:bCs w:val="false"/>
          <w:sz w:val="22"/>
          <w:szCs w:val="22"/>
        </w:rPr>
        <w:t xml:space="preserve">Days 4–14: all injections resume; add Cetirizine and Domperidone back for the Cetuximab rash/nausea.</w:t>
      </w:r>
    </w:p>
    <w:p>
      <w:pPr>
        <w:pStyle w:val="Heading2"/>
      </w:pPr>
      <w:r>
        <w:t xml:space="preserve">Dose notes</w:t>
      </w:r>
    </w:p>
    <w:p>
      <w:pPr>
        <w:pStyle w:val="ListParagraph"/>
        <w:numPr>
          <w:ilvl w:val="0"/>
          <w:numId w:val="2"/>
        </w:numPr>
      </w:pPr>
      <w:r>
        <w:rPr>
          <w:b w:val="false"/>
          <w:bCs w:val="false"/>
          <w:sz w:val="22"/>
          <w:szCs w:val="22"/>
        </w:rPr>
        <w:t xml:space="preserve">Ivermectin: at ~85kg the 1–1.5 mg/kg band is ~85–127mg/day. 2 × 48mg tablets (~96mg) sits mid-range. This is a high dose — step up to it rather than starting there, and get Dr Harry's sign-off.</w:t>
      </w:r>
    </w:p>
    <w:p>
      <w:pPr>
        <w:pStyle w:val="ListParagraph"/>
        <w:numPr>
          <w:ilvl w:val="0"/>
          <w:numId w:val="2"/>
        </w:numPr>
      </w:pPr>
      <w:r>
        <w:rPr>
          <w:b w:val="false"/>
          <w:bCs w:val="false"/>
          <w:sz w:val="22"/>
          <w:szCs w:val="22"/>
        </w:rPr>
        <w:t xml:space="preserve">DCA: 2 × 333mg/day (~666mg) matches your previous split-dose routine; confirm against target mg/kg with Dr Harry.</w:t>
      </w:r>
    </w:p>
    <w:p>
      <w:pPr>
        <w:pStyle w:val="ListParagraph"/>
        <w:numPr>
          <w:ilvl w:val="0"/>
          <w:numId w:val="2"/>
        </w:numPr>
      </w:pPr>
      <w:r>
        <w:rPr>
          <w:b w:val="false"/>
          <w:bCs w:val="false"/>
          <w:sz w:val="22"/>
          <w:szCs w:val="22"/>
        </w:rPr>
        <w:t xml:space="preserve">Turkey Tail: 2 × 500mg = ~1g/day. Correct.</w:t>
      </w:r>
    </w:p>
    <w:p>
      <w:pPr>
        <w:pStyle w:val="ListParagraph"/>
        <w:numPr>
          <w:ilvl w:val="0"/>
          <w:numId w:val="2"/>
        </w:numPr>
      </w:pPr>
      <w:r>
        <w:rPr>
          <w:b w:val="false"/>
          <w:bCs w:val="false"/>
          <w:sz w:val="22"/>
          <w:szCs w:val="22"/>
        </w:rPr>
        <w:t xml:space="preserve">Melatonin: continuing your higher-dose tablet as preferred; bedtime only.</w:t>
      </w:r>
    </w:p>
    <w:p>
      <w:pPr>
        <w:pStyle w:val="ListParagraph"/>
        <w:numPr>
          <w:ilvl w:val="0"/>
          <w:numId w:val="2"/>
        </w:numPr>
      </w:pPr>
      <w:r>
        <w:rPr>
          <w:b w:val="false"/>
          <w:bCs w:val="false"/>
          <w:sz w:val="22"/>
          <w:szCs w:val="22"/>
        </w:rPr>
        <w:t xml:space="preserve">Propranolol: 20mg per dose, AM + PM (within the 10–20mg, 2–3×/day band).</w:t>
      </w:r>
    </w:p>
    <w:p>
      <w:pPr>
        <w:pStyle w:val="ListParagraph"/>
        <w:numPr>
          <w:ilvl w:val="0"/>
          <w:numId w:val="2"/>
        </w:numPr>
      </w:pPr>
      <w:r>
        <w:rPr>
          <w:b w:val="false"/>
          <w:bCs w:val="false"/>
          <w:sz w:val="22"/>
          <w:szCs w:val="22"/>
        </w:rPr>
        <w:t xml:space="preserve">Fenbendazole: 440mg once daily replaces the old 222mg twice daily.</w:t>
      </w:r>
    </w:p>
    <w:p>
      <w:pPr>
        <w:pStyle w:val="Heading2"/>
      </w:pPr>
      <w:r>
        <w:t xml:space="preserve">To confirm with prescribers</w:t>
      </w:r>
    </w:p>
    <w:p>
      <w:pPr>
        <w:pStyle w:val="ListParagraph"/>
        <w:numPr>
          <w:ilvl w:val="0"/>
          <w:numId w:val="3"/>
        </w:numPr>
      </w:pPr>
      <w:r>
        <w:rPr>
          <w:sz w:val="22"/>
          <w:szCs w:val="22"/>
        </w:rPr>
        <w:t xml:space="preserve">HCQ 200mg retained instead of Chloroquine 155mg — confirm intended agent and the 2-on/2-off alignment (Dr Harry).</w:t>
      </w:r>
    </w:p>
    <w:p>
      <w:pPr>
        <w:pStyle w:val="ListParagraph"/>
        <w:numPr>
          <w:ilvl w:val="0"/>
          <w:numId w:val="3"/>
        </w:numPr>
      </w:pPr>
      <w:r>
        <w:rPr>
          <w:sz w:val="22"/>
          <w:szCs w:val="22"/>
        </w:rPr>
        <w:t xml:space="preserve">Ivermectin 2 × 48mg high dose at 85kg — confirm and step up (Dr Harry).</w:t>
      </w:r>
    </w:p>
    <w:p>
      <w:pPr>
        <w:pStyle w:val="ListParagraph"/>
        <w:numPr>
          <w:ilvl w:val="0"/>
          <w:numId w:val="3"/>
        </w:numPr>
      </w:pPr>
      <w:r>
        <w:rPr>
          <w:sz w:val="22"/>
          <w:szCs w:val="22"/>
        </w:rPr>
        <w:t xml:space="preserve">Helixor M dose and once-daily schedule — confirm (Dr Gruenewald).</w:t>
      </w:r>
    </w:p>
    <w:p>
      <w:pPr>
        <w:pStyle w:val="ListParagraph"/>
        <w:numPr>
          <w:ilvl w:val="0"/>
          <w:numId w:val="3"/>
        </w:numPr>
      </w:pPr>
      <w:r>
        <w:rPr>
          <w:sz w:val="22"/>
          <w:szCs w:val="22"/>
        </w:rPr>
        <w:t xml:space="preserve">Atorvastatin — LFTs now normal (16 Mar 2026), clear to add; source on next big order (Dr Harry).</w:t>
      </w:r>
    </w:p>
    <w:p>
      <w:pPr>
        <w:pStyle w:val="ListParagraph"/>
        <w:numPr>
          <w:ilvl w:val="0"/>
          <w:numId w:val="3"/>
        </w:numPr>
      </w:pPr>
      <w:r>
        <w:rPr>
          <w:sz w:val="22"/>
          <w:szCs w:val="22"/>
        </w:rPr>
        <w:t xml:space="preserve">Aspirin 75mg — newly added (Dr Harry).</w:t>
      </w:r>
    </w:p>
    <w:p>
      <w:pPr>
        <w:pStyle w:val="Heading2"/>
      </w:pPr>
      <w:r>
        <w:t xml:space="preserve">Prescribers &amp; suppliers</w:t>
      </w:r>
    </w:p>
    <w:p>
      <w:pPr>
        <w:pStyle w:val="ListParagraph"/>
        <w:numPr>
          <w:ilvl w:val="0"/>
          <w:numId w:val="2"/>
        </w:numPr>
      </w:pPr>
      <w:r>
        <w:rPr>
          <w:b w:val="false"/>
          <w:bCs w:val="false"/>
          <w:sz w:val="22"/>
          <w:szCs w:val="22"/>
        </w:rPr>
        <w:t xml:space="preserve">Dr Gruenewald — mistletoe (Helixor M), via London Integrated Health.</w:t>
      </w:r>
    </w:p>
    <w:p>
      <w:pPr>
        <w:pStyle w:val="ListParagraph"/>
        <w:numPr>
          <w:ilvl w:val="0"/>
          <w:numId w:val="2"/>
        </w:numPr>
      </w:pPr>
      <w:r>
        <w:rPr>
          <w:b w:val="false"/>
          <w:bCs w:val="false"/>
          <w:sz w:val="22"/>
          <w:szCs w:val="22"/>
        </w:rPr>
        <w:t xml:space="preserve">Dr Harry — off-label drugs and supplements.</w:t>
      </w:r>
    </w:p>
    <w:p>
      <w:pPr>
        <w:pStyle w:val="ListParagraph"/>
        <w:numPr>
          <w:ilvl w:val="0"/>
          <w:numId w:val="2"/>
        </w:numPr>
      </w:pPr>
      <w:r>
        <w:rPr>
          <w:b w:val="false"/>
          <w:bCs w:val="false"/>
          <w:sz w:val="22"/>
          <w:szCs w:val="22"/>
        </w:rPr>
        <w:t xml:space="preserve">Dr Sally Moore (Bath Clinic) — separately monitored condition.</w:t>
      </w:r>
    </w:p>
    <w:p>
      <w:pPr>
        <w:spacing w:after="60"/>
      </w:pPr>
      <w:r>
        <w:rPr>
          <w:i/>
          <w:iCs/>
          <w:sz w:val="20"/>
          <w:szCs w:val="20"/>
        </w:rPr>
        <w:t xml:space="preserve">Off-chemo pauses currently in effect: Domperidone and Cetirizine (both resume when chemo restarts).</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80"/>
      </w:pPr>
    </w:lvl>
  </w:abstractNum>
  <w:abstractNum w:abstractNumId="3" w15:restartNumberingAfterBreak="0">
    <w:multiLevelType w:val="hybridMultilevel"/>
    <w:lvl w:ilvl="0" w15:tentative="1">
      <w:start w:val="1"/>
      <w:numFmt w:val="decimal"/>
      <w:lvlText w:val="%1."/>
      <w:lvlJc w:val="left"/>
      <w:pPr>
        <w:ind w:left="540" w:hanging="28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120"/>
      <w:outlineLvl w:val="0"/>
    </w:pPr>
    <w:rPr>
      <w:rFonts w:ascii="Arial" w:cs="Arial" w:eastAsia="Arial" w:hAnsi="Arial"/>
      <w:b/>
      <w:bCs/>
      <w:color w:val="1F4E79"/>
      <w:sz w:val="36"/>
      <w:szCs w:val="36"/>
    </w:rPr>
  </w:style>
  <w:style w:type="paragraph" w:styleId="Heading2">
    <w:name w:val="Heading 2"/>
    <w:basedOn w:val="Normal"/>
    <w:next w:val="Normal"/>
    <w:qFormat/>
    <w:pPr>
      <w:spacing w:after="140" w:before="280"/>
      <w:outlineLvl w:val="1"/>
    </w:pPr>
    <w:rPr>
      <w:rFonts w:ascii="Arial" w:cs="Arial" w:eastAsia="Arial" w:hAnsi="Arial"/>
      <w:b/>
      <w:bCs/>
      <w:color w:val="2E75B6"/>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2026-06-05T13:13:28.974Z</dcterms:created>
  <dcterms:modified xsi:type="dcterms:W3CDTF">2026-06-05T13:13:28.975Z</dcterms:modified>
</cp:coreProperties>
</file>

<file path=docProps/custom.xml><?xml version="1.0" encoding="utf-8"?>
<Properties xmlns="http://schemas.openxmlformats.org/officeDocument/2006/custom-properties" xmlns:vt="http://schemas.openxmlformats.org/officeDocument/2006/docPropsVTypes"/>
</file>